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57B5AD98" w:rsidR="001F4477" w:rsidRPr="00092411"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092411">
        <w:rPr>
          <w:rFonts w:cstheme="minorHAnsi"/>
          <w:sz w:val="20"/>
          <w:szCs w:val="20"/>
        </w:rPr>
        <w:t>naročila</w:t>
      </w:r>
      <w:r w:rsidR="004A55F4" w:rsidRPr="00092411">
        <w:rPr>
          <w:rFonts w:cstheme="minorHAnsi"/>
          <w:sz w:val="20"/>
          <w:szCs w:val="20"/>
        </w:rPr>
        <w:t xml:space="preserve">: </w:t>
      </w:r>
      <w:bookmarkStart w:id="2" w:name="_Hlk46742850"/>
      <w:r w:rsidR="001C186F" w:rsidRPr="00092411">
        <w:rPr>
          <w:b/>
          <w:sz w:val="20"/>
          <w:szCs w:val="20"/>
        </w:rPr>
        <w:t>Podporni sistem za pretočne katalitske tehnologije in karakterizacijo za krožno gospodarstvo</w:t>
      </w:r>
    </w:p>
    <w:p w14:paraId="584C6A63" w14:textId="2C6CD912" w:rsidR="002D60D7" w:rsidRPr="00092411" w:rsidRDefault="002D60D7" w:rsidP="00571E7B">
      <w:pPr>
        <w:pStyle w:val="Glava"/>
        <w:tabs>
          <w:tab w:val="clear" w:pos="4536"/>
          <w:tab w:val="clear" w:pos="9072"/>
        </w:tabs>
        <w:rPr>
          <w:rFonts w:cstheme="minorHAnsi"/>
          <w:sz w:val="20"/>
          <w:szCs w:val="20"/>
        </w:rPr>
      </w:pPr>
    </w:p>
    <w:p w14:paraId="68DEA383" w14:textId="7EC63074" w:rsidR="004A55F4" w:rsidRPr="00092411" w:rsidRDefault="002D60D7" w:rsidP="00F05986">
      <w:pPr>
        <w:pStyle w:val="TableParagraph"/>
        <w:ind w:right="134"/>
        <w:jc w:val="both"/>
        <w:rPr>
          <w:rFonts w:eastAsia="Times New Roman" w:cstheme="minorHAnsi"/>
          <w:b/>
          <w:bCs/>
          <w:color w:val="000000"/>
          <w:sz w:val="20"/>
          <w:szCs w:val="20"/>
        </w:rPr>
      </w:pPr>
      <w:r w:rsidRPr="00092411">
        <w:rPr>
          <w:rFonts w:eastAsia="Times New Roman" w:cstheme="minorHAnsi"/>
          <w:color w:val="000000"/>
          <w:sz w:val="20"/>
          <w:szCs w:val="20"/>
        </w:rPr>
        <w:t xml:space="preserve">Ime sklopa: </w:t>
      </w:r>
      <w:r w:rsidRPr="00092411">
        <w:rPr>
          <w:rFonts w:eastAsia="Times New Roman" w:cstheme="minorHAnsi"/>
          <w:b/>
          <w:bCs/>
          <w:color w:val="000000"/>
          <w:sz w:val="20"/>
          <w:szCs w:val="20"/>
        </w:rPr>
        <w:t xml:space="preserve">SKLOP </w:t>
      </w:r>
      <w:r w:rsidR="00A857D0" w:rsidRPr="00092411">
        <w:rPr>
          <w:rFonts w:eastAsia="Times New Roman" w:cstheme="minorHAnsi"/>
          <w:b/>
          <w:bCs/>
          <w:color w:val="000000"/>
          <w:sz w:val="20"/>
          <w:szCs w:val="20"/>
        </w:rPr>
        <w:t>4</w:t>
      </w:r>
      <w:r w:rsidRPr="00092411">
        <w:rPr>
          <w:rFonts w:eastAsia="Times New Roman" w:cstheme="minorHAnsi"/>
          <w:b/>
          <w:bCs/>
          <w:color w:val="000000"/>
          <w:sz w:val="20"/>
          <w:szCs w:val="20"/>
        </w:rPr>
        <w:t>:</w:t>
      </w:r>
      <w:r w:rsidR="00C14F8B" w:rsidRPr="00092411">
        <w:rPr>
          <w:rFonts w:eastAsia="Times New Roman" w:cstheme="minorHAnsi"/>
          <w:b/>
          <w:bCs/>
          <w:color w:val="000000"/>
          <w:sz w:val="20"/>
          <w:szCs w:val="20"/>
        </w:rPr>
        <w:t xml:space="preserve"> Membrane - </w:t>
      </w:r>
      <w:bookmarkEnd w:id="2"/>
      <w:r w:rsidR="00F05986" w:rsidRPr="00092411">
        <w:rPr>
          <w:rFonts w:eastAsia="Times New Roman" w:cstheme="minorHAnsi"/>
          <w:b/>
          <w:bCs/>
          <w:color w:val="000000"/>
          <w:sz w:val="20"/>
          <w:szCs w:val="20"/>
        </w:rPr>
        <w:t>TOC/TN analizator</w:t>
      </w:r>
    </w:p>
    <w:p w14:paraId="2273F605" w14:textId="77777777" w:rsidR="00F05986" w:rsidRPr="00092411" w:rsidRDefault="00F05986" w:rsidP="00F05986">
      <w:pPr>
        <w:pStyle w:val="TableParagraph"/>
        <w:ind w:right="134"/>
        <w:jc w:val="both"/>
        <w:rPr>
          <w:rFonts w:cstheme="minorHAnsi"/>
          <w:b/>
          <w:sz w:val="20"/>
          <w:szCs w:val="20"/>
        </w:rPr>
      </w:pPr>
    </w:p>
    <w:p w14:paraId="69953705" w14:textId="1C040A13" w:rsidR="001F4477" w:rsidRPr="00092411" w:rsidRDefault="001F4477" w:rsidP="00571E7B">
      <w:pPr>
        <w:pStyle w:val="Glava"/>
        <w:tabs>
          <w:tab w:val="clear" w:pos="4536"/>
          <w:tab w:val="clear" w:pos="9072"/>
        </w:tabs>
        <w:rPr>
          <w:rFonts w:cstheme="minorHAnsi"/>
          <w:b/>
          <w:sz w:val="20"/>
          <w:szCs w:val="20"/>
        </w:rPr>
      </w:pPr>
      <w:r w:rsidRPr="00092411">
        <w:rPr>
          <w:rFonts w:cstheme="minorHAnsi"/>
          <w:bCs/>
          <w:sz w:val="20"/>
          <w:szCs w:val="20"/>
        </w:rPr>
        <w:t>Oznaka javnega naročila:</w:t>
      </w:r>
      <w:r w:rsidRPr="00092411">
        <w:rPr>
          <w:rFonts w:cstheme="minorHAnsi"/>
          <w:b/>
          <w:sz w:val="20"/>
          <w:szCs w:val="20"/>
        </w:rPr>
        <w:t xml:space="preserve"> </w:t>
      </w:r>
      <w:bookmarkStart w:id="3" w:name="_Hlk48896603"/>
      <w:r w:rsidR="002C23EC" w:rsidRPr="00092411">
        <w:rPr>
          <w:b/>
          <w:bCs/>
          <w:sz w:val="20"/>
          <w:szCs w:val="20"/>
        </w:rPr>
        <w:t>302/37 – RIUM19-FKKT01/2020</w:t>
      </w:r>
      <w:bookmarkEnd w:id="3"/>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2BDB90C5"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1C186F" w:rsidRPr="001C186F">
        <w:rPr>
          <w:bCs w:val="0"/>
          <w:sz w:val="20"/>
          <w:szCs w:val="20"/>
        </w:rPr>
        <w:t>P</w:t>
      </w:r>
      <w:r w:rsidR="001C186F" w:rsidRPr="00041353">
        <w:rPr>
          <w:sz w:val="20"/>
          <w:szCs w:val="20"/>
        </w:rPr>
        <w:t>odporni sistem za pretočne katalitske tehnologije in karakterizacijo za krožno gospodarstvo</w:t>
      </w:r>
      <w:r w:rsidRPr="000B3DB0">
        <w:rPr>
          <w:sz w:val="20"/>
          <w:szCs w:val="20"/>
        </w:rPr>
        <w:t>«</w:t>
      </w:r>
      <w:r>
        <w:rPr>
          <w:sz w:val="20"/>
          <w:szCs w:val="20"/>
        </w:rPr>
        <w:t xml:space="preserve"> za SKLOP </w:t>
      </w:r>
      <w:r w:rsidR="00A857D0">
        <w:rPr>
          <w:sz w:val="20"/>
          <w:szCs w:val="20"/>
        </w:rPr>
        <w:t>4</w:t>
      </w:r>
      <w:r>
        <w:rPr>
          <w:sz w:val="20"/>
          <w:szCs w:val="20"/>
        </w:rPr>
        <w:t xml:space="preserve">: </w:t>
      </w:r>
      <w:r w:rsidR="00C14F8B" w:rsidRPr="00C14F8B">
        <w:rPr>
          <w:sz w:val="20"/>
          <w:szCs w:val="20"/>
        </w:rPr>
        <w:t xml:space="preserve">Membrane - </w:t>
      </w:r>
      <w:r w:rsidR="00F05986" w:rsidRPr="00F05986">
        <w:rPr>
          <w:sz w:val="20"/>
          <w:szCs w:val="20"/>
        </w:rPr>
        <w:t>TOC/TN analizator</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37D95C30" w:rsidR="004B3DD5" w:rsidRPr="000D227D" w:rsidRDefault="00C14F8B" w:rsidP="00F05986">
            <w:pPr>
              <w:pStyle w:val="Odstavekseznama"/>
              <w:numPr>
                <w:ilvl w:val="0"/>
                <w:numId w:val="6"/>
              </w:numPr>
              <w:jc w:val="left"/>
              <w:rPr>
                <w:b/>
                <w:bCs/>
              </w:rPr>
            </w:pPr>
            <w:r w:rsidRPr="00C14F8B">
              <w:rPr>
                <w:b/>
                <w:bCs/>
              </w:rPr>
              <w:t xml:space="preserve">Membrane - </w:t>
            </w:r>
            <w:r w:rsidR="00F05986" w:rsidRPr="00F05986">
              <w:rPr>
                <w:b/>
                <w:bCs/>
              </w:rPr>
              <w:t>TOC/TN analizator</w:t>
            </w:r>
            <w:r>
              <w:rPr>
                <w:b/>
                <w:bCs/>
              </w:rPr>
              <w:t>,</w:t>
            </w:r>
            <w:r w:rsidR="008B4F68">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C14F8B" w14:paraId="5123308D" w14:textId="77777777" w:rsidTr="65ECD6B2">
        <w:tc>
          <w:tcPr>
            <w:tcW w:w="1396" w:type="dxa"/>
            <w:vMerge/>
          </w:tcPr>
          <w:p w14:paraId="6DD88F81" w14:textId="77777777" w:rsidR="00C14F8B" w:rsidRDefault="00C14F8B" w:rsidP="008B4F68"/>
        </w:tc>
        <w:tc>
          <w:tcPr>
            <w:tcW w:w="4922" w:type="dxa"/>
          </w:tcPr>
          <w:p w14:paraId="06E8359E" w14:textId="4769FD0F"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 xml:space="preserve">TOC/TN analizator </w:t>
            </w:r>
          </w:p>
          <w:p w14:paraId="155DB3EF"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omogoča analizo celotnega ogljika (TC), skupnega anorganskega ogljika (TIC), skupnega organskega ogljika (TOC), raztopljenega organskega ogljika (DOC) in ne(čisti) ogljik (NPOC-"non-purgeable organic carbon").</w:t>
            </w:r>
          </w:p>
          <w:p w14:paraId="46CCA0E1"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deluje na osnovi visokotemperaturnega katalitičnega zgorevanje z infrardečo detekcijo (NDIR).</w:t>
            </w:r>
          </w:p>
          <w:p w14:paraId="3344B566"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Omogočena mora biti uporaba za vzorce pitnih, površinskih, morskih, industrijskih in hladilnih vod.</w:t>
            </w:r>
          </w:p>
          <w:p w14:paraId="6DEFE5D7"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Za večje število vzorcev mora biti omogočen vnos vzorca z avtomatiziranim vrtljivim vratom.</w:t>
            </w:r>
          </w:p>
          <w:p w14:paraId="27515681"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Merilno območje: do 25.000 mg/l C</w:t>
            </w:r>
          </w:p>
          <w:p w14:paraId="76704DD4"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Meja zaznavanja: 0,05 mg/l C </w:t>
            </w:r>
          </w:p>
          <w:p w14:paraId="4D66BC58"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Čas analize: 3 minute za TC ali TIC</w:t>
            </w:r>
          </w:p>
          <w:p w14:paraId="79545F65"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Prostornina injiciranja: 10-250 μl</w:t>
            </w:r>
          </w:p>
          <w:p w14:paraId="34DCA752"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lastRenderedPageBreak/>
              <w:t>Velikosti delcev: največ 450 μm (neobvezno 800 μm)</w:t>
            </w:r>
          </w:p>
          <w:p w14:paraId="100BB18F"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Temperatura peči: do 950°C</w:t>
            </w:r>
          </w:p>
          <w:p w14:paraId="2BA77A57"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mora imeti vgrajene alarme za pretok plina, temperatura peči in temperatura hladilnika.</w:t>
            </w:r>
          </w:p>
          <w:p w14:paraId="530D28B5"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Programska oprema mora omogočati obdelavo podatkov in sicer preko izračuna površine ter več točkovno linearno regresijo, samodejno izključitev rezultatov, statistiko, urejanje tabel, samodejni zagon in zaustavitev, skladen z 21 CFR 11. </w:t>
            </w:r>
          </w:p>
          <w:p w14:paraId="3ADF7E12"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Uporabljen plin naj bo CO2- sintetičen ali zrak ničelne stopnje (zero grade), pri 200 ml/min 150 kPa</w:t>
            </w:r>
          </w:p>
          <w:p w14:paraId="2AF45BF8"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Potrebne moči: </w:t>
            </w:r>
            <w:r w:rsidRPr="00723EF7">
              <w:rPr>
                <w:rFonts w:eastAsia="Times New Roman"/>
              </w:rPr>
              <w:tab/>
              <w:t>100 - 120 V, 220 - 240 V, 60/50 Hz</w:t>
            </w:r>
          </w:p>
          <w:p w14:paraId="7B79145A"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Poraba energije: </w:t>
            </w:r>
            <w:r w:rsidRPr="00723EF7">
              <w:rPr>
                <w:rFonts w:eastAsia="Times New Roman"/>
              </w:rPr>
              <w:tab/>
              <w:t>max 600 VA</w:t>
            </w:r>
          </w:p>
          <w:p w14:paraId="6F0ECA09"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Potrebno je namestiti programski paket za zbiranje podatkov in omogočiti nastavitev izbire volumna injekcije, vrste analize (TC, TIC, TOC, NPOC, TN in NN), mešanje in nakisanje vzorcev ter čiščenje.</w:t>
            </w:r>
          </w:p>
          <w:p w14:paraId="700C715D" w14:textId="77777777" w:rsidR="00C14F8B" w:rsidRPr="008A669D" w:rsidRDefault="00723EF7" w:rsidP="00723EF7">
            <w:pPr>
              <w:pStyle w:val="Odstavekseznama"/>
              <w:numPr>
                <w:ilvl w:val="0"/>
                <w:numId w:val="41"/>
              </w:numPr>
              <w:rPr>
                <w:rFonts w:eastAsia="Times New Roman"/>
              </w:rPr>
            </w:pPr>
            <w:r w:rsidRPr="00723EF7">
              <w:rPr>
                <w:rFonts w:eastAsia="Times New Roman"/>
              </w:rPr>
              <w:t>Mora biti omogočeno, da se vzorci in standardi lahko nastavijo posamezno, ali se lahko vnesejo skupinsko.</w:t>
            </w:r>
            <w:r w:rsidRPr="00723EF7">
              <w:rPr>
                <w:rFonts w:eastAsia="Times New Roman"/>
                <w:b/>
                <w:bCs/>
              </w:rPr>
              <w:t xml:space="preserve"> </w:t>
            </w:r>
          </w:p>
          <w:p w14:paraId="67181D35" w14:textId="77777777" w:rsidR="008A669D" w:rsidRPr="002C66CA" w:rsidRDefault="008A669D" w:rsidP="00723EF7">
            <w:pPr>
              <w:pStyle w:val="Odstavekseznama"/>
              <w:numPr>
                <w:ilvl w:val="0"/>
                <w:numId w:val="41"/>
              </w:numPr>
              <w:rPr>
                <w:rFonts w:eastAsia="Times New Roman"/>
              </w:rPr>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p w14:paraId="2806461F" w14:textId="046B7E76" w:rsidR="002C66CA" w:rsidRPr="002C66CA" w:rsidRDefault="002C66CA" w:rsidP="00723EF7">
            <w:pPr>
              <w:pStyle w:val="Odstavekseznama"/>
              <w:numPr>
                <w:ilvl w:val="0"/>
                <w:numId w:val="41"/>
              </w:numPr>
              <w:rPr>
                <w:rFonts w:eastAsia="Times New Roman"/>
              </w:rPr>
            </w:pPr>
            <w:r w:rsidRPr="002C66CA">
              <w:t>Garancija instrumenta mora biti vsaj dve</w:t>
            </w:r>
            <w:r w:rsidR="001423BB">
              <w:t xml:space="preserve"> (2)</w:t>
            </w:r>
            <w:r w:rsidRPr="002C66CA">
              <w:t xml:space="preserve"> leti.</w:t>
            </w:r>
          </w:p>
        </w:tc>
        <w:tc>
          <w:tcPr>
            <w:tcW w:w="3500" w:type="dxa"/>
          </w:tcPr>
          <w:p w14:paraId="13BCC94A" w14:textId="61915E59" w:rsidR="00C14F8B" w:rsidRDefault="00C14F8B" w:rsidP="008B4F68"/>
        </w:tc>
        <w:tc>
          <w:tcPr>
            <w:tcW w:w="4069" w:type="dxa"/>
          </w:tcPr>
          <w:p w14:paraId="4C82CDEF" w14:textId="77777777" w:rsidR="00C14F8B" w:rsidRDefault="00C14F8B" w:rsidP="008B4F68"/>
        </w:tc>
      </w:tr>
      <w:tr w:rsidR="00C14F8B" w14:paraId="5555D0E8" w14:textId="77777777" w:rsidTr="65ECD6B2">
        <w:tc>
          <w:tcPr>
            <w:tcW w:w="1396" w:type="dxa"/>
            <w:vMerge/>
          </w:tcPr>
          <w:p w14:paraId="4E0A6C2F" w14:textId="77777777" w:rsidR="00C14F8B" w:rsidRDefault="00C14F8B" w:rsidP="008B4F68"/>
        </w:tc>
        <w:tc>
          <w:tcPr>
            <w:tcW w:w="4922" w:type="dxa"/>
          </w:tcPr>
          <w:p w14:paraId="0042BDFD" w14:textId="1B460E94"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Avtomatski vzorčevalnik</w:t>
            </w:r>
          </w:p>
          <w:p w14:paraId="1B7F523A" w14:textId="77777777" w:rsidR="00723EF7" w:rsidRPr="00723EF7" w:rsidRDefault="00723EF7" w:rsidP="00723EF7">
            <w:pPr>
              <w:pStyle w:val="Odstavekseznama"/>
              <w:widowControl w:val="0"/>
              <w:autoSpaceDE w:val="0"/>
              <w:autoSpaceDN w:val="0"/>
              <w:jc w:val="left"/>
              <w:rPr>
                <w:rFonts w:eastAsia="Times New Roman"/>
              </w:rPr>
            </w:pPr>
            <w:r w:rsidRPr="00723EF7">
              <w:rPr>
                <w:rFonts w:eastAsia="Times New Roman"/>
              </w:rPr>
              <w:t xml:space="preserve">Sistem mora vsebovati: </w:t>
            </w:r>
          </w:p>
          <w:p w14:paraId="7E824133"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pladenj za vzorce za 15 ml viale,</w:t>
            </w:r>
          </w:p>
          <w:p w14:paraId="660C50B7"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 xml:space="preserve">mešalno napravo na vrhu za homogenizacijo vzorca brez kontaminacije, </w:t>
            </w:r>
          </w:p>
          <w:p w14:paraId="01815AD2"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avtomatizirano dodajanje kisline in</w:t>
            </w:r>
          </w:p>
          <w:p w14:paraId="00E5348C" w14:textId="5A85D1B3" w:rsidR="00C14F8B" w:rsidRPr="00C14F8B"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možnost prepihovanja.</w:t>
            </w:r>
          </w:p>
        </w:tc>
        <w:tc>
          <w:tcPr>
            <w:tcW w:w="3500" w:type="dxa"/>
          </w:tcPr>
          <w:p w14:paraId="741DA0CB" w14:textId="77777777" w:rsidR="00C14F8B" w:rsidRDefault="00C14F8B" w:rsidP="008B4F68"/>
        </w:tc>
        <w:tc>
          <w:tcPr>
            <w:tcW w:w="4069" w:type="dxa"/>
          </w:tcPr>
          <w:p w14:paraId="2FAE85F5" w14:textId="77777777" w:rsidR="00C14F8B" w:rsidRDefault="00C14F8B" w:rsidP="008B4F68"/>
        </w:tc>
      </w:tr>
      <w:tr w:rsidR="00C14F8B" w14:paraId="5E419931" w14:textId="77777777" w:rsidTr="65ECD6B2">
        <w:tc>
          <w:tcPr>
            <w:tcW w:w="1396" w:type="dxa"/>
            <w:vMerge/>
          </w:tcPr>
          <w:p w14:paraId="583C4A5E" w14:textId="77777777" w:rsidR="00C14F8B" w:rsidRDefault="00C14F8B" w:rsidP="008B4F68"/>
        </w:tc>
        <w:tc>
          <w:tcPr>
            <w:tcW w:w="4922" w:type="dxa"/>
          </w:tcPr>
          <w:p w14:paraId="0E3FB719" w14:textId="2D723C74"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Kemilumiscentni detektor za skupni dušik (TN)</w:t>
            </w:r>
          </w:p>
          <w:p w14:paraId="1BFDDC2E" w14:textId="3D5FEA43" w:rsidR="00C14F8B" w:rsidRPr="00723EF7" w:rsidRDefault="00723EF7" w:rsidP="00723EF7">
            <w:pPr>
              <w:pStyle w:val="Odstavekseznama"/>
              <w:widowControl w:val="0"/>
              <w:autoSpaceDE w:val="0"/>
              <w:autoSpaceDN w:val="0"/>
              <w:jc w:val="left"/>
              <w:rPr>
                <w:rFonts w:eastAsia="Times New Roman"/>
              </w:rPr>
            </w:pPr>
            <w:r w:rsidRPr="00723EF7">
              <w:rPr>
                <w:rFonts w:eastAsia="Times New Roman"/>
              </w:rPr>
              <w:t>Analizator TN uporablja detektor skupnega dušika ND25 za analizo skupnega dušika (TN). Skupni dušik je mogoče izmeriti v razponu od nizkih ppb do visokih ppm z visoko natančnostjo v kratkem času analize z uporabo kemilumiscence (CLD).</w:t>
            </w:r>
          </w:p>
        </w:tc>
        <w:tc>
          <w:tcPr>
            <w:tcW w:w="3500" w:type="dxa"/>
          </w:tcPr>
          <w:p w14:paraId="74F496FE" w14:textId="77777777" w:rsidR="00C14F8B" w:rsidRDefault="00C14F8B" w:rsidP="008B4F68"/>
        </w:tc>
        <w:tc>
          <w:tcPr>
            <w:tcW w:w="4069" w:type="dxa"/>
          </w:tcPr>
          <w:p w14:paraId="665176A6" w14:textId="77777777" w:rsidR="00C14F8B" w:rsidRDefault="00C14F8B" w:rsidP="008B4F6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DCD63" w14:textId="77777777" w:rsidR="00927079" w:rsidRDefault="00927079" w:rsidP="00233848">
      <w:r>
        <w:separator/>
      </w:r>
    </w:p>
  </w:endnote>
  <w:endnote w:type="continuationSeparator" w:id="0">
    <w:p w14:paraId="3258100C" w14:textId="77777777" w:rsidR="00927079" w:rsidRDefault="0092707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6FF71B16" w:rsidR="00707200" w:rsidRPr="00DF4CD5" w:rsidRDefault="00876D42" w:rsidP="00D77B6F">
    <w:pPr>
      <w:pStyle w:val="Noga"/>
      <w:pBdr>
        <w:top w:val="single" w:sz="4" w:space="1" w:color="auto"/>
      </w:pBdr>
      <w:rPr>
        <w:rFonts w:ascii="Calibri" w:hAnsi="Calibri" w:cs="Calibri"/>
        <w:sz w:val="16"/>
        <w:szCs w:val="16"/>
      </w:rPr>
    </w:pPr>
    <w:r w:rsidRPr="00E90C7E">
      <w:rPr>
        <w:sz w:val="16"/>
        <w:szCs w:val="16"/>
      </w:rPr>
      <w:t>302/37 – RIUM19-FKKT01/2020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36A534F1" w:rsidR="00707200" w:rsidRPr="007C3E98" w:rsidRDefault="00E4665F" w:rsidP="00BD5C6E">
        <w:pPr>
          <w:pStyle w:val="Noga"/>
          <w:pBdr>
            <w:top w:val="single" w:sz="4" w:space="1" w:color="auto"/>
          </w:pBdr>
          <w:rPr>
            <w:rFonts w:ascii="Calibri" w:hAnsi="Calibri" w:cs="Calibri"/>
            <w:sz w:val="16"/>
            <w:szCs w:val="16"/>
          </w:rPr>
        </w:pPr>
        <w:r w:rsidRPr="00E90C7E">
          <w:rPr>
            <w:sz w:val="16"/>
            <w:szCs w:val="16"/>
          </w:rPr>
          <w:t>302/37 – RIUM19-FKKT01/2020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159BE" w14:textId="77777777" w:rsidR="00927079" w:rsidRDefault="00927079" w:rsidP="00233848">
      <w:r>
        <w:separator/>
      </w:r>
    </w:p>
  </w:footnote>
  <w:footnote w:type="continuationSeparator" w:id="0">
    <w:p w14:paraId="22565673" w14:textId="77777777" w:rsidR="00927079" w:rsidRDefault="00927079"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47EFD8F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36ECA">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452EB"/>
    <w:multiLevelType w:val="hybridMultilevel"/>
    <w:tmpl w:val="6FAEE598"/>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9B05441"/>
    <w:multiLevelType w:val="hybridMultilevel"/>
    <w:tmpl w:val="08B689AE"/>
    <w:lvl w:ilvl="0" w:tplc="818EB46E">
      <w:start w:val="4"/>
      <w:numFmt w:val="bullet"/>
      <w:lvlText w:val="-"/>
      <w:lvlJc w:val="left"/>
      <w:pPr>
        <w:ind w:left="1440" w:hanging="360"/>
      </w:pPr>
      <w:rPr>
        <w:rFonts w:ascii="Arial" w:eastAsia="SimSu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A4E0EA0"/>
    <w:multiLevelType w:val="hybridMultilevel"/>
    <w:tmpl w:val="73CAA8A0"/>
    <w:lvl w:ilvl="0" w:tplc="57DAB3DA">
      <w:start w:val="1"/>
      <w:numFmt w:val="lowerLetter"/>
      <w:lvlText w:val="%1)"/>
      <w:lvlJc w:val="left"/>
      <w:pPr>
        <w:ind w:left="720" w:hanging="360"/>
      </w:pPr>
      <w:rPr>
        <w:rFonts w:ascii="Calibri" w:eastAsia="Times New Roman"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5C423E"/>
    <w:multiLevelType w:val="hybridMultilevel"/>
    <w:tmpl w:val="F8E06CDC"/>
    <w:lvl w:ilvl="0" w:tplc="20000017">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514E1A"/>
    <w:multiLevelType w:val="hybridMultilevel"/>
    <w:tmpl w:val="3AA677AC"/>
    <w:lvl w:ilvl="0" w:tplc="818EB46E">
      <w:start w:val="4"/>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6B44C3"/>
    <w:multiLevelType w:val="hybridMultilevel"/>
    <w:tmpl w:val="80A6D47A"/>
    <w:lvl w:ilvl="0" w:tplc="6A98B2D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CE3F78"/>
    <w:multiLevelType w:val="hybridMultilevel"/>
    <w:tmpl w:val="96B2935C"/>
    <w:lvl w:ilvl="0" w:tplc="5CAEE166">
      <w:numFmt w:val="bullet"/>
      <w:lvlText w:val="•"/>
      <w:lvlJc w:val="left"/>
      <w:pPr>
        <w:ind w:left="793" w:hanging="420"/>
      </w:pPr>
      <w:rPr>
        <w:rFonts w:ascii="Calibri" w:eastAsia="Times New Roman" w:hAnsi="Calibri" w:cs="Calibri" w:hint="default"/>
      </w:rPr>
    </w:lvl>
    <w:lvl w:ilvl="1" w:tplc="20000003" w:tentative="1">
      <w:start w:val="1"/>
      <w:numFmt w:val="bullet"/>
      <w:lvlText w:val="o"/>
      <w:lvlJc w:val="left"/>
      <w:pPr>
        <w:ind w:left="1453" w:hanging="360"/>
      </w:pPr>
      <w:rPr>
        <w:rFonts w:ascii="Courier New" w:hAnsi="Courier New" w:cs="Courier New" w:hint="default"/>
      </w:rPr>
    </w:lvl>
    <w:lvl w:ilvl="2" w:tplc="20000005" w:tentative="1">
      <w:start w:val="1"/>
      <w:numFmt w:val="bullet"/>
      <w:lvlText w:val=""/>
      <w:lvlJc w:val="left"/>
      <w:pPr>
        <w:ind w:left="2173" w:hanging="360"/>
      </w:pPr>
      <w:rPr>
        <w:rFonts w:ascii="Wingdings" w:hAnsi="Wingdings" w:hint="default"/>
      </w:rPr>
    </w:lvl>
    <w:lvl w:ilvl="3" w:tplc="20000001" w:tentative="1">
      <w:start w:val="1"/>
      <w:numFmt w:val="bullet"/>
      <w:lvlText w:val=""/>
      <w:lvlJc w:val="left"/>
      <w:pPr>
        <w:ind w:left="2893" w:hanging="360"/>
      </w:pPr>
      <w:rPr>
        <w:rFonts w:ascii="Symbol" w:hAnsi="Symbol" w:hint="default"/>
      </w:rPr>
    </w:lvl>
    <w:lvl w:ilvl="4" w:tplc="20000003" w:tentative="1">
      <w:start w:val="1"/>
      <w:numFmt w:val="bullet"/>
      <w:lvlText w:val="o"/>
      <w:lvlJc w:val="left"/>
      <w:pPr>
        <w:ind w:left="3613" w:hanging="360"/>
      </w:pPr>
      <w:rPr>
        <w:rFonts w:ascii="Courier New" w:hAnsi="Courier New" w:cs="Courier New" w:hint="default"/>
      </w:rPr>
    </w:lvl>
    <w:lvl w:ilvl="5" w:tplc="20000005" w:tentative="1">
      <w:start w:val="1"/>
      <w:numFmt w:val="bullet"/>
      <w:lvlText w:val=""/>
      <w:lvlJc w:val="left"/>
      <w:pPr>
        <w:ind w:left="4333" w:hanging="360"/>
      </w:pPr>
      <w:rPr>
        <w:rFonts w:ascii="Wingdings" w:hAnsi="Wingdings" w:hint="default"/>
      </w:rPr>
    </w:lvl>
    <w:lvl w:ilvl="6" w:tplc="20000001" w:tentative="1">
      <w:start w:val="1"/>
      <w:numFmt w:val="bullet"/>
      <w:lvlText w:val=""/>
      <w:lvlJc w:val="left"/>
      <w:pPr>
        <w:ind w:left="5053" w:hanging="360"/>
      </w:pPr>
      <w:rPr>
        <w:rFonts w:ascii="Symbol" w:hAnsi="Symbol" w:hint="default"/>
      </w:rPr>
    </w:lvl>
    <w:lvl w:ilvl="7" w:tplc="20000003" w:tentative="1">
      <w:start w:val="1"/>
      <w:numFmt w:val="bullet"/>
      <w:lvlText w:val="o"/>
      <w:lvlJc w:val="left"/>
      <w:pPr>
        <w:ind w:left="5773" w:hanging="360"/>
      </w:pPr>
      <w:rPr>
        <w:rFonts w:ascii="Courier New" w:hAnsi="Courier New" w:cs="Courier New" w:hint="default"/>
      </w:rPr>
    </w:lvl>
    <w:lvl w:ilvl="8" w:tplc="20000005" w:tentative="1">
      <w:start w:val="1"/>
      <w:numFmt w:val="bullet"/>
      <w:lvlText w:val=""/>
      <w:lvlJc w:val="left"/>
      <w:pPr>
        <w:ind w:left="6493" w:hanging="360"/>
      </w:pPr>
      <w:rPr>
        <w:rFonts w:ascii="Wingdings" w:hAnsi="Wingdings" w:hint="default"/>
      </w:rPr>
    </w:lvl>
  </w:abstractNum>
  <w:abstractNum w:abstractNumId="20" w15:restartNumberingAfterBreak="0">
    <w:nsid w:val="29CE6E32"/>
    <w:multiLevelType w:val="hybridMultilevel"/>
    <w:tmpl w:val="6B90D5AE"/>
    <w:lvl w:ilvl="0" w:tplc="818EB46E">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7A60DD0"/>
    <w:multiLevelType w:val="hybridMultilevel"/>
    <w:tmpl w:val="4DD8BC1C"/>
    <w:lvl w:ilvl="0" w:tplc="20000017">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A22B44"/>
    <w:multiLevelType w:val="hybridMultilevel"/>
    <w:tmpl w:val="0D2003FE"/>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F585E95"/>
    <w:multiLevelType w:val="hybridMultilevel"/>
    <w:tmpl w:val="8B3621E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2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3F612F"/>
    <w:multiLevelType w:val="hybridMultilevel"/>
    <w:tmpl w:val="09CC4872"/>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04691E"/>
    <w:multiLevelType w:val="hybridMultilevel"/>
    <w:tmpl w:val="ED241A18"/>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5677D1"/>
    <w:multiLevelType w:val="hybridMultilevel"/>
    <w:tmpl w:val="B7C6B5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A3D781F"/>
    <w:multiLevelType w:val="hybridMultilevel"/>
    <w:tmpl w:val="2F3EE5F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38" w15:restartNumberingAfterBreak="0">
    <w:nsid w:val="6F4C7587"/>
    <w:multiLevelType w:val="hybridMultilevel"/>
    <w:tmpl w:val="FC60AC6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2002980"/>
    <w:multiLevelType w:val="hybridMultilevel"/>
    <w:tmpl w:val="85C8D126"/>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941061E"/>
    <w:multiLevelType w:val="hybridMultilevel"/>
    <w:tmpl w:val="9BE410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6"/>
  </w:num>
  <w:num w:numId="2">
    <w:abstractNumId w:val="2"/>
  </w:num>
  <w:num w:numId="3">
    <w:abstractNumId w:val="29"/>
  </w:num>
  <w:num w:numId="4">
    <w:abstractNumId w:val="34"/>
  </w:num>
  <w:num w:numId="5">
    <w:abstractNumId w:val="11"/>
  </w:num>
  <w:num w:numId="6">
    <w:abstractNumId w:val="5"/>
  </w:num>
  <w:num w:numId="7">
    <w:abstractNumId w:val="27"/>
  </w:num>
  <w:num w:numId="8">
    <w:abstractNumId w:val="6"/>
  </w:num>
  <w:num w:numId="9">
    <w:abstractNumId w:val="17"/>
  </w:num>
  <w:num w:numId="10">
    <w:abstractNumId w:val="32"/>
  </w:num>
  <w:num w:numId="11">
    <w:abstractNumId w:val="23"/>
  </w:num>
  <w:num w:numId="12">
    <w:abstractNumId w:val="12"/>
  </w:num>
  <w:num w:numId="13">
    <w:abstractNumId w:val="4"/>
  </w:num>
  <w:num w:numId="14">
    <w:abstractNumId w:val="1"/>
  </w:num>
  <w:num w:numId="15">
    <w:abstractNumId w:val="35"/>
  </w:num>
  <w:num w:numId="16">
    <w:abstractNumId w:val="14"/>
  </w:num>
  <w:num w:numId="17">
    <w:abstractNumId w:val="31"/>
  </w:num>
  <w:num w:numId="18">
    <w:abstractNumId w:val="40"/>
  </w:num>
  <w:num w:numId="19">
    <w:abstractNumId w:val="3"/>
  </w:num>
  <w:num w:numId="20">
    <w:abstractNumId w:val="16"/>
  </w:num>
  <w:num w:numId="21">
    <w:abstractNumId w:val="21"/>
  </w:num>
  <w:num w:numId="22">
    <w:abstractNumId w:val="41"/>
  </w:num>
  <w:num w:numId="23">
    <w:abstractNumId w:val="7"/>
  </w:num>
  <w:num w:numId="24">
    <w:abstractNumId w:val="33"/>
  </w:num>
  <w:num w:numId="25">
    <w:abstractNumId w:val="8"/>
  </w:num>
  <w:num w:numId="26">
    <w:abstractNumId w:val="22"/>
  </w:num>
  <w:num w:numId="27">
    <w:abstractNumId w:val="13"/>
  </w:num>
  <w:num w:numId="28">
    <w:abstractNumId w:val="25"/>
  </w:num>
  <w:num w:numId="29">
    <w:abstractNumId w:val="19"/>
  </w:num>
  <w:num w:numId="30">
    <w:abstractNumId w:val="15"/>
  </w:num>
  <w:num w:numId="31">
    <w:abstractNumId w:val="20"/>
  </w:num>
  <w:num w:numId="32">
    <w:abstractNumId w:val="18"/>
  </w:num>
  <w:num w:numId="33">
    <w:abstractNumId w:val="10"/>
  </w:num>
  <w:num w:numId="34">
    <w:abstractNumId w:val="37"/>
  </w:num>
  <w:num w:numId="35">
    <w:abstractNumId w:val="9"/>
  </w:num>
  <w:num w:numId="36">
    <w:abstractNumId w:val="28"/>
  </w:num>
  <w:num w:numId="37">
    <w:abstractNumId w:val="36"/>
  </w:num>
  <w:num w:numId="38">
    <w:abstractNumId w:val="42"/>
  </w:num>
  <w:num w:numId="39">
    <w:abstractNumId w:val="39"/>
  </w:num>
  <w:num w:numId="40">
    <w:abstractNumId w:val="38"/>
  </w:num>
  <w:num w:numId="41">
    <w:abstractNumId w:val="30"/>
  </w:num>
  <w:num w:numId="42">
    <w:abstractNumId w:val="24"/>
  </w:num>
  <w:num w:numId="4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101A4"/>
    <w:rsid w:val="00022E32"/>
    <w:rsid w:val="00030FB7"/>
    <w:rsid w:val="000331C3"/>
    <w:rsid w:val="00035E3D"/>
    <w:rsid w:val="00044153"/>
    <w:rsid w:val="000527D1"/>
    <w:rsid w:val="00053188"/>
    <w:rsid w:val="00053A07"/>
    <w:rsid w:val="00060D59"/>
    <w:rsid w:val="0006519B"/>
    <w:rsid w:val="00065392"/>
    <w:rsid w:val="00070990"/>
    <w:rsid w:val="00073F66"/>
    <w:rsid w:val="00077B6A"/>
    <w:rsid w:val="00080B7E"/>
    <w:rsid w:val="000909A2"/>
    <w:rsid w:val="00092411"/>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23BB"/>
    <w:rsid w:val="00144E95"/>
    <w:rsid w:val="00145B34"/>
    <w:rsid w:val="00154723"/>
    <w:rsid w:val="001979E6"/>
    <w:rsid w:val="001A2353"/>
    <w:rsid w:val="001A2B4F"/>
    <w:rsid w:val="001A5863"/>
    <w:rsid w:val="001B0B71"/>
    <w:rsid w:val="001C1808"/>
    <w:rsid w:val="001C186F"/>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4239"/>
    <w:rsid w:val="00297C25"/>
    <w:rsid w:val="002B1803"/>
    <w:rsid w:val="002B5FAE"/>
    <w:rsid w:val="002C23EC"/>
    <w:rsid w:val="002C44AD"/>
    <w:rsid w:val="002C66CA"/>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36ECA"/>
    <w:rsid w:val="00340A16"/>
    <w:rsid w:val="00356790"/>
    <w:rsid w:val="00366983"/>
    <w:rsid w:val="00367885"/>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2614"/>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84005"/>
    <w:rsid w:val="0069082C"/>
    <w:rsid w:val="00697FBB"/>
    <w:rsid w:val="006A2143"/>
    <w:rsid w:val="006C171B"/>
    <w:rsid w:val="006E43F8"/>
    <w:rsid w:val="006F6B15"/>
    <w:rsid w:val="007001B3"/>
    <w:rsid w:val="00704D16"/>
    <w:rsid w:val="00705756"/>
    <w:rsid w:val="00707200"/>
    <w:rsid w:val="00714DB1"/>
    <w:rsid w:val="00717267"/>
    <w:rsid w:val="00722758"/>
    <w:rsid w:val="00723E22"/>
    <w:rsid w:val="00723EF7"/>
    <w:rsid w:val="0076160C"/>
    <w:rsid w:val="007646D3"/>
    <w:rsid w:val="00766101"/>
    <w:rsid w:val="00766420"/>
    <w:rsid w:val="007903EA"/>
    <w:rsid w:val="007949FB"/>
    <w:rsid w:val="007A2B8C"/>
    <w:rsid w:val="007A4587"/>
    <w:rsid w:val="007A6DDA"/>
    <w:rsid w:val="007C0B7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76D42"/>
    <w:rsid w:val="008902E3"/>
    <w:rsid w:val="008962E4"/>
    <w:rsid w:val="008A3516"/>
    <w:rsid w:val="008A669D"/>
    <w:rsid w:val="008B1FDF"/>
    <w:rsid w:val="008B4DA5"/>
    <w:rsid w:val="008B4F68"/>
    <w:rsid w:val="008B6510"/>
    <w:rsid w:val="008C2443"/>
    <w:rsid w:val="008C6939"/>
    <w:rsid w:val="008D30BE"/>
    <w:rsid w:val="00927079"/>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719A9"/>
    <w:rsid w:val="00A80B38"/>
    <w:rsid w:val="00A83762"/>
    <w:rsid w:val="00A84500"/>
    <w:rsid w:val="00A857D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14F8B"/>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7B6F"/>
    <w:rsid w:val="00DA7355"/>
    <w:rsid w:val="00DB0CD1"/>
    <w:rsid w:val="00DB2BE8"/>
    <w:rsid w:val="00DB3112"/>
    <w:rsid w:val="00DB5803"/>
    <w:rsid w:val="00DC3C06"/>
    <w:rsid w:val="00DD39B7"/>
    <w:rsid w:val="00DD5852"/>
    <w:rsid w:val="00E0534C"/>
    <w:rsid w:val="00E17780"/>
    <w:rsid w:val="00E240AC"/>
    <w:rsid w:val="00E3229B"/>
    <w:rsid w:val="00E40B85"/>
    <w:rsid w:val="00E4665F"/>
    <w:rsid w:val="00E52927"/>
    <w:rsid w:val="00E56B75"/>
    <w:rsid w:val="00E74207"/>
    <w:rsid w:val="00E75197"/>
    <w:rsid w:val="00E87A1D"/>
    <w:rsid w:val="00E9124A"/>
    <w:rsid w:val="00E97EC8"/>
    <w:rsid w:val="00EA1924"/>
    <w:rsid w:val="00EA1B19"/>
    <w:rsid w:val="00EA545F"/>
    <w:rsid w:val="00EC1584"/>
    <w:rsid w:val="00EE7A67"/>
    <w:rsid w:val="00F0444F"/>
    <w:rsid w:val="00F05986"/>
    <w:rsid w:val="00F13656"/>
    <w:rsid w:val="00F3634E"/>
    <w:rsid w:val="00F80501"/>
    <w:rsid w:val="00F8250A"/>
    <w:rsid w:val="00F847D0"/>
    <w:rsid w:val="00F85E08"/>
    <w:rsid w:val="00F940D8"/>
    <w:rsid w:val="00FA6BE1"/>
    <w:rsid w:val="00FB5AF8"/>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23BE2B-42E2-5E40-8F6D-577F6682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529</Words>
  <Characters>3019</Characters>
  <Application>Microsoft Office Word</Application>
  <DocSecurity>0</DocSecurity>
  <Lines>25</Lines>
  <Paragraphs>7</Paragraphs>
  <ScaleCrop>false</ScaleCrop>
  <Company>UM FS Maribor</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3</cp:revision>
  <cp:lastPrinted>2020-04-21T13:57:00Z</cp:lastPrinted>
  <dcterms:created xsi:type="dcterms:W3CDTF">2020-09-15T08:49:00Z</dcterms:created>
  <dcterms:modified xsi:type="dcterms:W3CDTF">2020-09-24T12:14:00Z</dcterms:modified>
</cp:coreProperties>
</file>